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AE7455" w:rsidP="00AD4CE9">
      <w:pPr>
        <w:spacing w:before="0" w:after="0" w:line="228" w:lineRule="auto"/>
        <w:rPr>
          <w:rFonts w:ascii="Tahoma" w:hAnsi="Tahoma" w:cs="Tahoma"/>
          <w:noProof/>
        </w:rPr>
      </w:pPr>
      <w:r w:rsidRPr="00AE7455">
        <w:rPr>
          <w:noProof/>
        </w:rPr>
        <w:drawing>
          <wp:inline distT="0" distB="0" distL="0" distR="0" wp14:anchorId="362E9F7F" wp14:editId="35A9A4D4">
            <wp:extent cx="5613400" cy="4770362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77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32628734" wp14:editId="04A91168">
            <wp:extent cx="4448175" cy="273367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209C9" w:rsidRDefault="00AE7455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Administración Municipal de Prado, refleja en el Balance General Comparativo que los Activos del  municipio crecieron en un 40.67%, los Pasivos de igual forma presentaron un crecimiento del 262.11%, lo cual generó en el periodo 2015 un minucioso crecimiento del Patrimonio </w:t>
      </w:r>
      <w:r w:rsidR="009209C9">
        <w:rPr>
          <w:rFonts w:ascii="Tahoma" w:hAnsi="Tahoma" w:cs="Tahoma"/>
        </w:rPr>
        <w:t>del 7.83%, dejando ver de esta forma el poco crecimiento del índice de propiedad que viene gestando el Ente Municipal.</w:t>
      </w: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Total de Activos a Diciembre 31 de 2015 ascendió a $35.642,9 millones con un aumento de $10.133,3 millones el 40.67% con respecto al periodo anterior (2014) que finalizó la anualidad en $24.910,5 millones.</w:t>
      </w: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la vigencia 2015, el Activo Corriente representa el 36.90% del total de los activos con una disminución de $2.117,6 millones el -154,6%, pasando de $15.049,1 millones en el 2014 a $12.931,5 millones en el 2015.</w:t>
      </w: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resalta el crecimiento positivo que presentó el saldo de la cuenta de efectivo entre las vigencias 2014 y 2015, arrojando un crecimiento porcentual positivo del 45.21% pasando en el 2014 de registrar un saldo de $2.255,4 millones a $3.275,04 millones en el 2015.</w:t>
      </w: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209C9" w:rsidRDefault="009209C9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este grupo llama la atención el crecimiento positivo que tuvo la cuenta caja </w:t>
      </w:r>
      <w:r w:rsidR="001B4378">
        <w:rPr>
          <w:rFonts w:ascii="Tahoma" w:hAnsi="Tahoma" w:cs="Tahoma"/>
        </w:rPr>
        <w:t>cuyo saldo debe ser $0 al finalizar la vigencia, no obstante en la vigencia 2014 finalizó con un saldo de $5.3 millones y para el 2015 el registro fue de $11.5 millones, es decir 6,2 millones más de lo obtenido en la vigencia anterior (2014).</w:t>
      </w: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1B437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saldo de la cuenta “Depósitos en Instituciones Financieras”, el Balance General consolidado registra un crecimiento positivo del 45.04% pasando del (2014) de $2.250 millones a $3.263,4 millones en el 2015.  Dentro de este grupo se tiene que el 22.54% de los recursos se encuentran consignados en cuentas corrientes mientras que el 77.45% en cuentas de ahorro.</w:t>
      </w:r>
    </w:p>
    <w:p w:rsidR="001B4378" w:rsidRDefault="001B437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1B4378" w:rsidRDefault="001B437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“Inversiones Administrativas de liquidez en títulos participativos” no presentó variación porcentual entre las dos vigencias manteniendo el mismo saldo de $2.2 millones.</w:t>
      </w:r>
    </w:p>
    <w:p w:rsidR="001B4378" w:rsidRDefault="001B437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1B4378" w:rsidRDefault="001B437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 las Rentas por Cobrar se determina una disminución entre los saldos 2014 y 2015 del -16.57% que representa $-233,7 millones pasando de $1.410,1 millones en el 2014 a $1.176,4 millones en el 2015; se observa que el 100% </w:t>
      </w:r>
      <w:r w:rsidR="00F161D1">
        <w:rPr>
          <w:rFonts w:ascii="Tahoma" w:hAnsi="Tahoma" w:cs="Tahoma"/>
        </w:rPr>
        <w:t>del valor registrado ($1.176,4 millones) corresponde a vigencias anteriores.</w:t>
      </w:r>
    </w:p>
    <w:p w:rsidR="00F161D1" w:rsidRDefault="00F161D1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161D1" w:rsidRDefault="00F161D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</w:t>
      </w:r>
      <w:r w:rsidR="00171674">
        <w:rPr>
          <w:rFonts w:ascii="Tahoma" w:hAnsi="Tahoma" w:cs="Tahoma"/>
        </w:rPr>
        <w:t xml:space="preserve"> participación de la </w:t>
      </w:r>
      <w:r>
        <w:rPr>
          <w:rFonts w:ascii="Tahoma" w:hAnsi="Tahoma" w:cs="Tahoma"/>
        </w:rPr>
        <w:t xml:space="preserve"> cuenta “Deudores” </w:t>
      </w:r>
      <w:r w:rsidR="00171674">
        <w:rPr>
          <w:rFonts w:ascii="Tahoma" w:hAnsi="Tahoma" w:cs="Tahoma"/>
        </w:rPr>
        <w:t>e</w:t>
      </w:r>
      <w:r>
        <w:rPr>
          <w:rFonts w:ascii="Tahoma" w:hAnsi="Tahoma" w:cs="Tahoma"/>
        </w:rPr>
        <w:t>n el total del activo es del 27.54%</w:t>
      </w:r>
      <w:r w:rsidR="00906002">
        <w:rPr>
          <w:rFonts w:ascii="Tahoma" w:hAnsi="Tahoma" w:cs="Tahoma"/>
        </w:rPr>
        <w:t>, aumentando entre las vigencias 2014 y 2015 la suma de $8.280,3 millones, cifra que representa un crecimiento porcentual del 603.5% alcanzando en la vigencia 2014 un saldo de $1.371,8 millones y finalizando el periodo fiscal 2015 en $9.652,2 millones resultado que obedece al apalancamiento que tuvo los recursos entregados por concepto de avances y anticipos entregados para proyectos de inversión.</w:t>
      </w:r>
    </w:p>
    <w:p w:rsidR="00906002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06002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Propiedad, Planta y Equipo por su parte disminuyo su saldo en $394,8 millones (4.76%) el saldo registrado en el 2014 ($8.287,9 millones) finalizando con ello el cierre del periodo fiscal 2015 en ($8.682,8 millones).</w:t>
      </w:r>
    </w:p>
    <w:p w:rsidR="00906002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06002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Bienes de uso público, aunque el porcentaje de participación en el total del activo alcanzó tan solo el 23.29%, es una cuenta que aumento el saldo del 2014 ($7.517,6 millones) en 644,9 millones (8.58%) finalizando la anualidad 2015 en ($8.162,6 millones).</w:t>
      </w:r>
    </w:p>
    <w:p w:rsidR="00906002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766AB" w:rsidRDefault="00906002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la cuenta “Otros Activos” el incremento </w:t>
      </w:r>
      <w:r w:rsidR="00B766AB">
        <w:rPr>
          <w:rFonts w:ascii="Tahoma" w:hAnsi="Tahoma" w:cs="Tahoma"/>
        </w:rPr>
        <w:t>aunque fue poco representativo  del 0.65% entre las dos vigencias cerró la vigencia 2015  en $4.089,5 millones.</w:t>
      </w:r>
    </w:p>
    <w:p w:rsidR="00B766AB" w:rsidRDefault="00B766A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06002" w:rsidRDefault="00B766A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Del pasivo se puede evidenciar que el incremento alcanzado fue del 262,11% ($8.434,5 millones) más de lo percibido en el 2014 registrando un saldo en esta vigencia del ($3.217,8 millones), no obstante al cierre del periodo fiscal 2015 fue de $11.652,4 millones. </w:t>
      </w:r>
    </w:p>
    <w:p w:rsidR="00B766AB" w:rsidRDefault="00B766A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766AB" w:rsidRDefault="00B766A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Pasivo Corriente representa el 81.53% del total del pasivo, que presento una disminución del -51.09% en las obligaciones laborales; mientras que  las Cuentas por Pagar </w:t>
      </w:r>
      <w:r w:rsidR="00110EA7">
        <w:rPr>
          <w:rFonts w:ascii="Tahoma" w:hAnsi="Tahoma" w:cs="Tahoma"/>
        </w:rPr>
        <w:t>presentaron un incremento significativo del 1.005,6% pasando en el 2014 de ($858.3 millones) al 2015 con un saldo de ($9.490,4 millones).</w:t>
      </w:r>
    </w:p>
    <w:p w:rsidR="00092432" w:rsidRDefault="00092432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432" w:rsidRDefault="00110EA7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El Pasivo No Corriente representa el 18.46% del total del pasivo, con una disminución del 9.17% ($102.3 millones) al pasar de $2.240,3 millones en el 2014 a $2.151,7 millones en el 2015 representado principalmente por los Pasivos Estimados con $1.311,3 millones y Operaciones de Crédito Público de $818,8 millones, cuenta última que disminuyo su saldo en $39.5 millones.</w:t>
      </w:r>
    </w:p>
    <w:p w:rsidR="00110EA7" w:rsidRDefault="00110EA7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E01E8" w:rsidRDefault="00110EA7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Patrimonio aumentó en $1.697,8 millones al pasar de $21.692,6 millones en el 2014 a $23.390,5 millones en el 2015, resultado que fue influido entre otros por el incremento del 31.66% en el Resultado del Ejercicio y de Hacienda Pública, cuenta que paso de registrar un saldo de $21.692,6 millones a $23.390,5 millones en el 2015.</w:t>
      </w:r>
    </w:p>
    <w:p w:rsidR="00B24CA8" w:rsidRPr="00AD4CE9" w:rsidRDefault="00847EEE" w:rsidP="00847EEE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B24CA8" w:rsidRPr="002443C3" w:rsidRDefault="00B24CA8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847EEE" w:rsidRDefault="00847EEE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847EEE" w:rsidRDefault="00110EA7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>
        <w:rPr>
          <w:noProof/>
        </w:rPr>
        <w:drawing>
          <wp:inline distT="0" distB="0" distL="0" distR="0" wp14:anchorId="5C89BC99" wp14:editId="6403F77B">
            <wp:extent cx="4448175" cy="3057525"/>
            <wp:effectExtent l="0" t="0" r="9525" b="952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971C2" w:rsidRDefault="000971C2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noProof/>
        </w:rPr>
      </w:pPr>
    </w:p>
    <w:p w:rsidR="00110EA7" w:rsidRDefault="00110EA7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 w:rsidRPr="00110EA7">
        <w:rPr>
          <w:noProof/>
        </w:rPr>
        <w:lastRenderedPageBreak/>
        <w:drawing>
          <wp:inline distT="0" distB="0" distL="0" distR="0" wp14:anchorId="535DA70B" wp14:editId="4ADE36C0">
            <wp:extent cx="5613400" cy="6839404"/>
            <wp:effectExtent l="0" t="0" r="635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83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C2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9961BF">
        <w:rPr>
          <w:rFonts w:ascii="Tahoma" w:hAnsi="Tahoma" w:cs="Tahoma"/>
        </w:rPr>
        <w:lastRenderedPageBreak/>
        <w:t xml:space="preserve">Los </w:t>
      </w:r>
      <w:r>
        <w:rPr>
          <w:rFonts w:ascii="Tahoma" w:hAnsi="Tahoma" w:cs="Tahoma"/>
        </w:rPr>
        <w:t xml:space="preserve"> resultados del Ejercicio financiero durante la vigencia fiscal 2015, presentó un incremento en sus ingresos del 58.10% ($3.771,9 millones) al pasar de obtener unos ingresos en el 2014 de ($6.419,9 millones)  a unos ingresos en el 2015 de $10.263,8 millones.</w:t>
      </w: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la estructura de los ingresos se tiene que el 70.5% provienen de las Transferencias, el 22.4% de los Ingresos Fiscales y el 0.7% de otros Ingresos.</w:t>
      </w: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Ingresos Fiscales presentó un incremento de ($1.103,2 millones) el 92.16% del 2014 al 2015, finalizando la vigencia con un saldo de $2.300,3 millones.  Dentro de este grupo el 61.6% corresponde a Ingresos Tributarios cuyo comportamiento entre el 2014 y el 2015 reflejan un incremento del 55.01% representados en 503,4 millones finalizando de esta manera el 2015 con un saldo de $1.418,6 millones.</w:t>
      </w: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9961BF" w:rsidRDefault="009961BF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Ingresos No Tributarios que representan el 38.3% de los Ingresos Fiscales finalizaron la vigencia 2015 </w:t>
      </w:r>
      <w:r w:rsidR="00B57255">
        <w:rPr>
          <w:rFonts w:ascii="Tahoma" w:hAnsi="Tahoma" w:cs="Tahoma"/>
        </w:rPr>
        <w:t>con un saldo de $881.7 millones presentando entre el 2014 y el 2015 una disminución del 3.65%.</w:t>
      </w: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Transferencias, cuenta de mayor representatividad dentro de la estructura de los ingresos (70.5%) presento entre el 2014 al 2015 una variación positiva del 56.15% representado en $2.602,7 millones pasando de tener registros en el 2014 en cuantía de $4.635,4 millones a $7.238,2 millones en el 2015.</w:t>
      </w: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Ingresos provenientes del Sistema General de Participaciones, presentaron un incremento del 97.12% ($2.678,5 millones) pasando de percibir en el 2014 ($2.758,1 millones) al 2015 ($5.436,7 millones).</w:t>
      </w: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B57255" w:rsidRDefault="00B57255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sectores beneficiados con el incremento de las transferencias por concepto del Sistema General de Participaciones fueron el Sector  Salud, sobre los cuales se destinaron  el </w:t>
      </w:r>
      <w:r w:rsidR="00321B22">
        <w:rPr>
          <w:rFonts w:ascii="Tahoma" w:hAnsi="Tahoma" w:cs="Tahoma"/>
        </w:rPr>
        <w:t>43.24%, finalizando la vigencia con un saldo de $2.351,2 millones incrementando con respecto al 2014 su saldo en el 2.606,4% pues en el 2014  había alcanzado la suma de $86,8 millones, mientras que al cierre del 2015 finalizó en $2.351,2 millones.</w:t>
      </w:r>
    </w:p>
    <w:p w:rsidR="00321B22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321B22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sector de Propósito General, se asignaron ingresos en cuantía de $2.256 millones que representan el 41.4% del total de las transferencias del Sistema General de Participaciones, el saldo de la cuenta se incrementó con  respecto al 2014 en un 20.64% representados en $385,9 millones, finalizando de esta manera la anualidad de 2015 en $2.351,2 millones.</w:t>
      </w:r>
    </w:p>
    <w:p w:rsidR="00321B22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321B22" w:rsidRPr="009961BF" w:rsidRDefault="00321B22" w:rsidP="009961BF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transferencias por concepto de “Regalías” incrementaron el saldo entre las vigencias 2014 y 2015 el saldo en un 29.73%  representados en 198,1 millones al pasar en el 2014 ($666,7 millones) al 2015 ($864,9 millones).</w:t>
      </w: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321B22" w:rsidP="00B24CA8">
      <w:pPr>
        <w:pStyle w:val="Prrafodelista"/>
        <w:spacing w:before="0" w:after="0" w:line="228" w:lineRule="auto"/>
        <w:rPr>
          <w:rFonts w:ascii="Tahoma" w:hAnsi="Tahoma" w:cs="Tahoma"/>
        </w:rPr>
      </w:pPr>
      <w:r w:rsidRPr="00321B22">
        <w:rPr>
          <w:rFonts w:ascii="Tahoma" w:hAnsi="Tahoma" w:cs="Tahoma"/>
        </w:rPr>
        <w:t xml:space="preserve">El </w:t>
      </w:r>
      <w:r>
        <w:rPr>
          <w:rFonts w:ascii="Tahoma" w:hAnsi="Tahoma" w:cs="Tahoma"/>
        </w:rPr>
        <w:t>total de gastos en el 2015 ($7.713,6 millones) presentaron un crecimiento del 69.34%</w:t>
      </w:r>
      <w:r w:rsidR="007D5C4B">
        <w:rPr>
          <w:rFonts w:ascii="Tahoma" w:hAnsi="Tahoma" w:cs="Tahoma"/>
        </w:rPr>
        <w:t xml:space="preserve"> frente a lo contabilizado en el 2014 ($4.555 millones).</w:t>
      </w:r>
    </w:p>
    <w:p w:rsidR="007D5C4B" w:rsidRDefault="007D5C4B" w:rsidP="00B24CA8">
      <w:pPr>
        <w:pStyle w:val="Prrafodelista"/>
        <w:spacing w:before="0" w:after="0" w:line="228" w:lineRule="auto"/>
        <w:rPr>
          <w:rFonts w:ascii="Tahoma" w:hAnsi="Tahoma" w:cs="Tahoma"/>
        </w:rPr>
      </w:pPr>
    </w:p>
    <w:p w:rsidR="007D5C4B" w:rsidRDefault="007D5C4B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67.67% de los gastos corresponden al “Gasto Público Social”  cuenta que presentó un incremento del 150.99% ($3.140,3 millones) del 2014 al 2015, finalizando esta última vigencia en $5.220,1 millones.</w:t>
      </w:r>
    </w:p>
    <w:p w:rsidR="007D5C4B" w:rsidRDefault="007D5C4B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3E2908" w:rsidRDefault="007D5C4B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grupo, el sector que más demando gastos fue el sector de Salud</w:t>
      </w:r>
      <w:r w:rsidR="003E2908">
        <w:rPr>
          <w:rFonts w:ascii="Tahoma" w:hAnsi="Tahoma" w:cs="Tahoma"/>
        </w:rPr>
        <w:t>, cuya cuenta finalizó en el 2015 en $2.334,9  millones con un incremento del 793.07%.</w:t>
      </w:r>
    </w:p>
    <w:p w:rsidR="003E2908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3E2908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Sobresale de igual forma el incremento porcentual de 1.182.16% presentado en el sector vivienda al pasar en el 2014 ($38,5 millones) a ($493,7 millones) en el 2015.</w:t>
      </w:r>
    </w:p>
    <w:p w:rsidR="003E2908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7D5C4B" w:rsidRPr="00321B22" w:rsidRDefault="003E2908" w:rsidP="007D5C4B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Otros Gastos, finalizó la anualidad con un saldo de $858,5 millones incrementando en un 474,02% el saldo percibido en el 2014 que alcanzo la suma de ($149.5 millones).</w:t>
      </w:r>
      <w:r w:rsidR="007D5C4B">
        <w:rPr>
          <w:rFonts w:ascii="Tahoma" w:hAnsi="Tahoma" w:cs="Tahoma"/>
        </w:rPr>
        <w:t xml:space="preserve"> </w:t>
      </w:r>
    </w:p>
    <w:p w:rsidR="00B66376" w:rsidRDefault="00B6637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3108E9">
        <w:rPr>
          <w:rFonts w:ascii="Tahoma" w:hAnsi="Tahoma" w:cs="Tahoma"/>
        </w:rPr>
        <w:t>3.275.043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108E9">
        <w:rPr>
          <w:rFonts w:ascii="Tahoma" w:hAnsi="Tahoma" w:cs="Tahoma"/>
        </w:rPr>
        <w:t>1.176.409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3108E9">
        <w:rPr>
          <w:rFonts w:ascii="Tahoma" w:hAnsi="Tahoma" w:cs="Tahoma"/>
        </w:rPr>
        <w:t xml:space="preserve"> 9.652.220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$14.103.672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3108E9">
        <w:rPr>
          <w:rFonts w:ascii="Tahoma" w:hAnsi="Tahoma" w:cs="Tahoma"/>
        </w:rPr>
        <w:t xml:space="preserve">   818.840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3108E9">
        <w:rPr>
          <w:rFonts w:ascii="Tahoma" w:hAnsi="Tahoma" w:cs="Tahoma"/>
        </w:rPr>
        <w:t>entas por Pagar</w:t>
      </w:r>
      <w:r w:rsidR="003108E9">
        <w:rPr>
          <w:rFonts w:ascii="Tahoma" w:hAnsi="Tahoma" w:cs="Tahoma"/>
        </w:rPr>
        <w:tab/>
      </w:r>
      <w:r w:rsidR="003108E9">
        <w:rPr>
          <w:rFonts w:ascii="Tahoma" w:hAnsi="Tahoma" w:cs="Tahoma"/>
        </w:rPr>
        <w:tab/>
      </w:r>
      <w:r w:rsidR="003108E9">
        <w:rPr>
          <w:rFonts w:ascii="Tahoma" w:hAnsi="Tahoma" w:cs="Tahoma"/>
        </w:rPr>
        <w:tab/>
      </w:r>
      <w:r w:rsidR="003108E9">
        <w:rPr>
          <w:rFonts w:ascii="Tahoma" w:hAnsi="Tahoma" w:cs="Tahoma"/>
        </w:rPr>
        <w:tab/>
        <w:t xml:space="preserve">   9.490.408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  <w:r w:rsidR="003108E9">
        <w:rPr>
          <w:rFonts w:ascii="Tahoma" w:hAnsi="Tahoma" w:cs="Tahoma"/>
        </w:rPr>
        <w:t xml:space="preserve">  10.227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108E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$10.319.475</w:t>
      </w: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Razón</w:t>
      </w:r>
      <w:r w:rsidR="003108E9">
        <w:rPr>
          <w:rFonts w:ascii="Tahoma" w:hAnsi="Tahoma" w:cs="Tahoma"/>
        </w:rPr>
        <w:t xml:space="preserve"> Corriente  $14.103.672/ $10.319.475=1.36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3108E9">
        <w:rPr>
          <w:rFonts w:ascii="Tahoma" w:hAnsi="Tahoma" w:cs="Tahoma"/>
        </w:rPr>
        <w:t>tración Municipal de Prado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3108E9">
        <w:rPr>
          <w:rFonts w:ascii="Tahoma" w:hAnsi="Tahoma" w:cs="Tahoma"/>
        </w:rPr>
        <w:t>1.36</w:t>
      </w:r>
      <w:r w:rsidR="008D6CE6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3108E9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$14.103.672- $10.319.475</w:t>
      </w:r>
      <w:r w:rsidR="00A7456E" w:rsidRPr="00AD4CE9">
        <w:rPr>
          <w:rFonts w:ascii="Tahoma" w:hAnsi="Tahoma" w:cs="Tahoma"/>
        </w:rPr>
        <w:t>= $</w:t>
      </w:r>
      <w:r w:rsidR="004622C7">
        <w:rPr>
          <w:rFonts w:ascii="Tahoma" w:hAnsi="Tahoma" w:cs="Tahoma"/>
        </w:rPr>
        <w:t>3.784.197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$10.319.475</w:t>
      </w:r>
      <w:r w:rsidR="00310359">
        <w:rPr>
          <w:rFonts w:ascii="Tahoma" w:hAnsi="Tahoma" w:cs="Tahoma"/>
        </w:rPr>
        <w:t>/</w:t>
      </w:r>
      <w:r>
        <w:rPr>
          <w:rFonts w:ascii="Tahoma" w:hAnsi="Tahoma" w:cs="Tahoma"/>
        </w:rPr>
        <w:t>$35.042.918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29.4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4622C7">
        <w:rPr>
          <w:rFonts w:ascii="Tahoma" w:hAnsi="Tahoma" w:cs="Tahoma"/>
        </w:rPr>
        <w:t>29.4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4622C7">
        <w:rPr>
          <w:rFonts w:ascii="Tahoma" w:hAnsi="Tahoma" w:cs="Tahoma"/>
        </w:rPr>
        <w:t>23.390.515 /35.042.918</w:t>
      </w:r>
      <w:r w:rsidR="005A36ED" w:rsidRPr="00AD4CE9">
        <w:rPr>
          <w:rFonts w:ascii="Tahoma" w:hAnsi="Tahoma" w:cs="Tahoma"/>
        </w:rPr>
        <w:t xml:space="preserve"> </w:t>
      </w:r>
      <w:r w:rsidR="004622C7">
        <w:rPr>
          <w:rFonts w:ascii="Tahoma" w:hAnsi="Tahoma" w:cs="Tahoma"/>
        </w:rPr>
        <w:t>=66.7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4622C7">
        <w:rPr>
          <w:rFonts w:ascii="Tahoma" w:hAnsi="Tahoma" w:cs="Tahoma"/>
        </w:rPr>
        <w:t>que el 66.7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municipio de Prado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40.67% en la suma de  $10.132,7</w:t>
      </w:r>
      <w:r w:rsidR="008D6CE6">
        <w:rPr>
          <w:rFonts w:ascii="Tahoma" w:hAnsi="Tahoma" w:cs="Tahoma"/>
        </w:rPr>
        <w:t xml:space="preserve"> millones</w:t>
      </w:r>
      <w:r w:rsidR="00402C3D">
        <w:rPr>
          <w:rFonts w:ascii="Tahoma" w:hAnsi="Tahoma" w:cs="Tahoma"/>
        </w:rPr>
        <w:t>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4622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7.83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 w:rsidR="008D6CE6">
        <w:rPr>
          <w:rFonts w:ascii="Tahoma" w:hAnsi="Tahoma" w:cs="Tahoma"/>
        </w:rPr>
        <w:t xml:space="preserve">el mismo crecimiento </w:t>
      </w:r>
      <w:r w:rsidR="000D2062" w:rsidRPr="00AD4CE9">
        <w:rPr>
          <w:rFonts w:ascii="Tahoma" w:hAnsi="Tahoma" w:cs="Tahoma"/>
        </w:rPr>
        <w:t>por la suma de $</w:t>
      </w:r>
      <w:r>
        <w:rPr>
          <w:rFonts w:ascii="Tahoma" w:hAnsi="Tahoma" w:cs="Tahoma"/>
        </w:rPr>
        <w:t>1.697,8</w:t>
      </w:r>
      <w:r w:rsidR="008D6CE6">
        <w:rPr>
          <w:rFonts w:ascii="Tahoma" w:hAnsi="Tahoma" w:cs="Tahoma"/>
        </w:rPr>
        <w:t xml:space="preserve"> millones</w:t>
      </w:r>
      <w:r w:rsidR="00B74E57">
        <w:rPr>
          <w:rFonts w:ascii="Tahoma" w:hAnsi="Tahoma" w:cs="Tahoma"/>
        </w:rPr>
        <w:t>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4622C7">
        <w:rPr>
          <w:rFonts w:ascii="Tahoma" w:hAnsi="Tahoma" w:cs="Tahoma"/>
        </w:rPr>
        <w:t>a en el 33.26% los pasivos y el 66.74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4622C7">
        <w:rPr>
          <w:rFonts w:ascii="Tahoma" w:hAnsi="Tahoma" w:cs="Tahoma"/>
        </w:rPr>
        <w:t>29.4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6B7F90">
        <w:rPr>
          <w:rFonts w:ascii="Tahoma" w:hAnsi="Tahoma" w:cs="Tahoma"/>
        </w:rPr>
        <w:t>io de Prado</w:t>
      </w:r>
      <w:r w:rsidR="00FE7F94">
        <w:rPr>
          <w:rFonts w:ascii="Tahoma" w:hAnsi="Tahoma" w:cs="Tahoma"/>
        </w:rPr>
        <w:t xml:space="preserve">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7E32EA">
      <w:headerReference w:type="default" r:id="rId12"/>
      <w:footerReference w:type="default" r:id="rId13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519" w:rsidRDefault="00E72519" w:rsidP="00650A99">
      <w:r>
        <w:separator/>
      </w:r>
    </w:p>
  </w:endnote>
  <w:endnote w:type="continuationSeparator" w:id="0">
    <w:p w:rsidR="00E72519" w:rsidRDefault="00E72519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914CB17" wp14:editId="5DC02DCF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B8741E" w:rsidRPr="00B8741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B8741E" w:rsidRPr="00B8741E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9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4CB1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B8741E" w:rsidRPr="00B8741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B8741E" w:rsidRPr="00B8741E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9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A5317" wp14:editId="11425A9F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AA5317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99B4141" wp14:editId="14233CFF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B8741E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9B4141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B8741E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519" w:rsidRDefault="00E72519" w:rsidP="00650A99">
      <w:r>
        <w:separator/>
      </w:r>
    </w:p>
  </w:footnote>
  <w:footnote w:type="continuationSeparator" w:id="0">
    <w:p w:rsidR="00E72519" w:rsidRDefault="00E72519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7E32EA">
    <w:pPr>
      <w:pStyle w:val="Encabezado"/>
    </w:pPr>
    <w:r>
      <w:rPr>
        <w:noProof/>
      </w:rPr>
      <w:drawing>
        <wp:inline distT="0" distB="0" distL="0" distR="0" wp14:anchorId="2D3E0DF7" wp14:editId="40AA8749">
          <wp:extent cx="1571625" cy="1219200"/>
          <wp:effectExtent l="0" t="0" r="9525" b="0"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432"/>
    <w:rsid w:val="00092D3A"/>
    <w:rsid w:val="00096CAD"/>
    <w:rsid w:val="000971C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10EA7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17F8"/>
    <w:rsid w:val="00163663"/>
    <w:rsid w:val="001666F5"/>
    <w:rsid w:val="00171674"/>
    <w:rsid w:val="0017250D"/>
    <w:rsid w:val="001A5473"/>
    <w:rsid w:val="001B4378"/>
    <w:rsid w:val="001B7E9B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D6719"/>
    <w:rsid w:val="002E1436"/>
    <w:rsid w:val="002E7240"/>
    <w:rsid w:val="002F54E8"/>
    <w:rsid w:val="003026A2"/>
    <w:rsid w:val="00303824"/>
    <w:rsid w:val="00306CC6"/>
    <w:rsid w:val="00310359"/>
    <w:rsid w:val="003108E9"/>
    <w:rsid w:val="00313CA5"/>
    <w:rsid w:val="003205FF"/>
    <w:rsid w:val="00321B22"/>
    <w:rsid w:val="00321EC8"/>
    <w:rsid w:val="003242F1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E2908"/>
    <w:rsid w:val="003F5E08"/>
    <w:rsid w:val="00402C3D"/>
    <w:rsid w:val="004032C1"/>
    <w:rsid w:val="00407637"/>
    <w:rsid w:val="004120E2"/>
    <w:rsid w:val="00423359"/>
    <w:rsid w:val="00426FB0"/>
    <w:rsid w:val="00430D77"/>
    <w:rsid w:val="00440EAB"/>
    <w:rsid w:val="00452E65"/>
    <w:rsid w:val="00454B8B"/>
    <w:rsid w:val="00461871"/>
    <w:rsid w:val="004622C7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B7F90"/>
    <w:rsid w:val="006C051C"/>
    <w:rsid w:val="006D20E4"/>
    <w:rsid w:val="006D2B4A"/>
    <w:rsid w:val="00700DB0"/>
    <w:rsid w:val="0070120A"/>
    <w:rsid w:val="007062D9"/>
    <w:rsid w:val="00706545"/>
    <w:rsid w:val="00715B59"/>
    <w:rsid w:val="00736007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D5C4B"/>
    <w:rsid w:val="007D6052"/>
    <w:rsid w:val="007E32EA"/>
    <w:rsid w:val="007F7C04"/>
    <w:rsid w:val="00800EEF"/>
    <w:rsid w:val="008036D7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47EEE"/>
    <w:rsid w:val="00862966"/>
    <w:rsid w:val="00872CA8"/>
    <w:rsid w:val="008761A0"/>
    <w:rsid w:val="00897455"/>
    <w:rsid w:val="008A0D33"/>
    <w:rsid w:val="008A0D90"/>
    <w:rsid w:val="008A1B70"/>
    <w:rsid w:val="008A5D7F"/>
    <w:rsid w:val="008D6CE6"/>
    <w:rsid w:val="008E2ADB"/>
    <w:rsid w:val="008E40B7"/>
    <w:rsid w:val="008E6775"/>
    <w:rsid w:val="008F6815"/>
    <w:rsid w:val="009058D0"/>
    <w:rsid w:val="00906002"/>
    <w:rsid w:val="00907660"/>
    <w:rsid w:val="00914565"/>
    <w:rsid w:val="009209C9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961BF"/>
    <w:rsid w:val="009C0615"/>
    <w:rsid w:val="009D7ECE"/>
    <w:rsid w:val="009E01E8"/>
    <w:rsid w:val="009E3411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E7455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57255"/>
    <w:rsid w:val="00B63579"/>
    <w:rsid w:val="00B6483D"/>
    <w:rsid w:val="00B648B1"/>
    <w:rsid w:val="00B65897"/>
    <w:rsid w:val="00B66376"/>
    <w:rsid w:val="00B7024B"/>
    <w:rsid w:val="00B74E57"/>
    <w:rsid w:val="00B74F06"/>
    <w:rsid w:val="00B766AB"/>
    <w:rsid w:val="00B773B4"/>
    <w:rsid w:val="00B83BF2"/>
    <w:rsid w:val="00B8540B"/>
    <w:rsid w:val="00B8741E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5A0C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338CD"/>
    <w:rsid w:val="00D42439"/>
    <w:rsid w:val="00D718F8"/>
    <w:rsid w:val="00D71C09"/>
    <w:rsid w:val="00D774B6"/>
    <w:rsid w:val="00D81436"/>
    <w:rsid w:val="00D85DD3"/>
    <w:rsid w:val="00D9131A"/>
    <w:rsid w:val="00DA07E0"/>
    <w:rsid w:val="00DA76D0"/>
    <w:rsid w:val="00DB2278"/>
    <w:rsid w:val="00DB5E63"/>
    <w:rsid w:val="00DC4D50"/>
    <w:rsid w:val="00DD0981"/>
    <w:rsid w:val="00DD5CA9"/>
    <w:rsid w:val="00E00EAB"/>
    <w:rsid w:val="00E06024"/>
    <w:rsid w:val="00E16EF6"/>
    <w:rsid w:val="00E27185"/>
    <w:rsid w:val="00E35BA6"/>
    <w:rsid w:val="00E37DA4"/>
    <w:rsid w:val="00E438FA"/>
    <w:rsid w:val="00E44E11"/>
    <w:rsid w:val="00E562E9"/>
    <w:rsid w:val="00E72519"/>
    <w:rsid w:val="00E745B9"/>
    <w:rsid w:val="00E77764"/>
    <w:rsid w:val="00E80CF1"/>
    <w:rsid w:val="00EC5776"/>
    <w:rsid w:val="00ED18CB"/>
    <w:rsid w:val="00F067EF"/>
    <w:rsid w:val="00F11CE8"/>
    <w:rsid w:val="00F152E9"/>
    <w:rsid w:val="00F161D1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F159763B-E1A7-4379-92B0-5CB6A2AC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Prado\Cuadro%20Comparativo.xls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Prado\Cuadro%20Comparativo.xls" TargetMode="External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0</c:formatCode>
                <c:ptCount val="3"/>
                <c:pt idx="0">
                  <c:v>35042918</c:v>
                </c:pt>
                <c:pt idx="1">
                  <c:v>11652403</c:v>
                </c:pt>
                <c:pt idx="2">
                  <c:v>23390515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24910576</c:v>
                </c:pt>
                <c:pt idx="1">
                  <c:v>3217884</c:v>
                </c:pt>
                <c:pt idx="2">
                  <c:v>21692692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8509920"/>
        <c:axId val="1108503392"/>
        <c:axId val="0"/>
      </c:bar3DChart>
      <c:catAx>
        <c:axId val="110850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108503392"/>
        <c:crosses val="autoZero"/>
        <c:auto val="1"/>
        <c:lblAlgn val="ctr"/>
        <c:lblOffset val="100"/>
        <c:noMultiLvlLbl val="0"/>
      </c:catAx>
      <c:valAx>
        <c:axId val="1108503392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1085099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s-CO" sz="1400">
                <a:solidFill>
                  <a:schemeClr val="bg1"/>
                </a:solidFill>
              </a:rPr>
              <a:t>Estado de Actividad</a:t>
            </a:r>
            <a:r>
              <a:rPr lang="es-CO" sz="1400" baseline="0">
                <a:solidFill>
                  <a:schemeClr val="bg1"/>
                </a:solidFill>
              </a:rPr>
              <a:t> Financiera, Economica, Social y Ambiental </a:t>
            </a:r>
            <a:r>
              <a:rPr lang="es-CO" sz="1400" b="0" baseline="0">
                <a:solidFill>
                  <a:schemeClr val="bg1"/>
                </a:solidFill>
              </a:rPr>
              <a:t>(miles de pesos)</a:t>
            </a:r>
            <a:endParaRPr lang="es-CO" sz="1400" b="0">
              <a:solidFill>
                <a:schemeClr val="bg1"/>
              </a:solidFill>
            </a:endParaRP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0</c:formatCode>
                <c:ptCount val="2"/>
                <c:pt idx="0">
                  <c:v>7713678</c:v>
                </c:pt>
                <c:pt idx="1">
                  <c:v>4555023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Graficas!#¡REF!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8511008"/>
        <c:axId val="1108501216"/>
        <c:axId val="1579518192"/>
      </c:bar3DChart>
      <c:catAx>
        <c:axId val="110851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1108501216"/>
        <c:crosses val="autoZero"/>
        <c:auto val="1"/>
        <c:lblAlgn val="ctr"/>
        <c:lblOffset val="100"/>
        <c:noMultiLvlLbl val="0"/>
      </c:catAx>
      <c:valAx>
        <c:axId val="1108501216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1108511008"/>
        <c:crosses val="autoZero"/>
        <c:crossBetween val="between"/>
      </c:valAx>
      <c:serAx>
        <c:axId val="1579518192"/>
        <c:scaling>
          <c:orientation val="minMax"/>
        </c:scaling>
        <c:delete val="1"/>
        <c:axPos val="b"/>
        <c:majorTickMark val="out"/>
        <c:minorTickMark val="none"/>
        <c:tickLblPos val="nextTo"/>
        <c:crossAx val="1108501216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b="1">
              <a:solidFill>
                <a:schemeClr val="bg1"/>
              </a:solidFill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DEC92-39A5-41C6-A4B6-47B485E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9</Pages>
  <Words>1747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27</cp:revision>
  <cp:lastPrinted>2016-12-25T22:03:00Z</cp:lastPrinted>
  <dcterms:created xsi:type="dcterms:W3CDTF">2015-09-24T21:09:00Z</dcterms:created>
  <dcterms:modified xsi:type="dcterms:W3CDTF">2016-12-25T22:03:00Z</dcterms:modified>
</cp:coreProperties>
</file>